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-228599</wp:posOffset>
            </wp:positionH>
            <wp:positionV relativeFrom="paragraph">
              <wp:posOffset>-666749</wp:posOffset>
            </wp:positionV>
            <wp:extent cx="761365" cy="28956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13667" l="0" r="8694" t="17266"/>
                    <a:stretch>
                      <a:fillRect/>
                    </a:stretch>
                  </pic:blipFill>
                  <pic:spPr>
                    <a:xfrm>
                      <a:off x="0" y="0"/>
                      <a:ext cx="761365" cy="28956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397" w:hRule="atLeast"/>
        </w:trPr>
        <w:tc>
          <w:tcPr>
            <w:vAlign w:val="center"/>
          </w:tcPr>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Beknopte omschrijving van de bij- of nascholingsbijeenkomst</w:t>
            </w:r>
          </w:p>
        </w:tc>
      </w:tr>
      <w:tr>
        <w:trPr>
          <w:trHeight w:val="397"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Titel: Individuele training on the Job van Wiechen onderzoek </w:t>
            </w:r>
          </w:p>
        </w:tc>
      </w:tr>
      <w:tr>
        <w:trPr>
          <w:trHeight w:val="397"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data:  </w:t>
            </w:r>
          </w:p>
        </w:tc>
      </w:tr>
      <w:tr>
        <w:trPr>
          <w:trHeight w:val="397"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Plaats: Varsseveld</w:t>
            </w:r>
          </w:p>
        </w:tc>
      </w:tr>
      <w:tr>
        <w:trPr>
          <w:trHeight w:val="397"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Locatie: Consultatiebureau Yunio</w:t>
            </w:r>
          </w:p>
        </w:tc>
      </w:tr>
      <w:tr>
        <w:trPr>
          <w:trHeight w:val="397" w:hRule="atLeast"/>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Website met congresinformatie: nvt</w:t>
            </w:r>
          </w:p>
        </w:tc>
      </w:tr>
      <w:tr>
        <w:trPr>
          <w:trHeight w:val="397"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Beoogd aantal deelnemers: Individueel (totaal ongeveer 12 Jeugdartsen)</w:t>
            </w:r>
          </w:p>
        </w:tc>
      </w:tr>
      <w:tr>
        <w:trPr>
          <w:trHeight w:val="397" w:hRule="atLeast"/>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Inschrijfgeld per deelnemer: nvt</w:t>
            </w:r>
          </w:p>
        </w:tc>
      </w:tr>
      <w:tr>
        <w:trPr>
          <w:trHeight w:val="397" w:hRule="atLeast"/>
        </w:trP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Aantal onderwijsuren (pauzes, maaltijden, sociale activiteiten, enz. niet meetellen): 4.30</w:t>
            </w:r>
          </w:p>
        </w:tc>
      </w:tr>
      <w:tr>
        <w:trPr>
          <w:trHeight w:val="3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Altijd het (concept)programma met dit aanvraagformulier meezenden.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Specificeer programma van uur tot uur, inclusief pauzes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8.00-8.20 maken entree toets van Wiechen onderzoek</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8.20-12.00 uur observatie tijdens consultatiebureau, met kortdurende aanwijzingen tussendoor</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12.00 nabespreking toets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Nabespreking uitvoering van Wiechen onderzoek</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invullen KPB</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12.30 einde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Instructie voor het invullen van vraag 4 en 5</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Leden van de organisatiecommissie zijn vrij om zelf de rol van programmacommissie te vervullen dan wel een aparte programmacommissie te benoemen (en vice versa).</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Uitsluitend aan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voorzitter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commissie wordt de eis gesteld van onafhankelijkheid van voor deze bijeenkomst relevante (farmaceutische) bedrijven en sponsors.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zo ver het mee te zenden programma vraag 4 en 5 beantwoordt, kunt u hiernaar verwijzen en hoeft u vraag 4 en 5 niet in te vullen.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trHeight w:val="397" w:hRule="atLeast"/>
        </w:trPr>
        <w:tc>
          <w:tcPr>
            <w:gridSpan w:val="2"/>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organisatie</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r>
      <w:tr>
        <w:trPr>
          <w:trHeight w:val="397" w:hRule="atLeast"/>
        </w:trP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Saskia Vos</w:t>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trHeight w:val="397" w:hRule="atLeast"/>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Minke Diegenbach</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trHeight w:val="397" w:hRule="atLeast"/>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Marleen Hageman</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2940"/>
        <w:gridCol w:w="3202"/>
        <w:tblGridChange w:id="0">
          <w:tblGrid>
            <w:gridCol w:w="3070"/>
            <w:gridCol w:w="2940"/>
            <w:gridCol w:w="3202"/>
          </w:tblGrid>
        </w:tblGridChange>
      </w:tblGrid>
      <w:tr>
        <w:trPr>
          <w:trHeight w:val="397" w:hRule="atLeast"/>
        </w:trPr>
        <w:tc>
          <w:tcPr>
            <w:gridSpan w:val="3"/>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5.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Geregistreerd als specialist  </w:t>
            </w:r>
          </w:p>
        </w:tc>
      </w:tr>
      <w:tr>
        <w:trPr>
          <w:trHeight w:val="397" w:hRule="atLeast"/>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H.H. Stam – van der Doel</w:t>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X arts M&amp;G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tc>
      </w:tr>
      <w:tr>
        <w:trPr>
          <w:trHeight w:val="397" w:hRule="atLeast"/>
        </w:trP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Saskia Vos</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X JVP</w:t>
            </w:r>
          </w:p>
        </w:tc>
      </w:tr>
      <w:tr>
        <w:trPr>
          <w:trHeight w:val="397" w:hRule="atLeast"/>
        </w:trP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Minke Diegenbach</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x arts A&amp;G va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JVP…………</w:t>
            </w:r>
          </w:p>
        </w:tc>
      </w:tr>
      <w:tr>
        <w:trPr>
          <w:trHeight w:val="397" w:hRule="atLeast"/>
        </w:trPr>
        <w:tc>
          <w:tcPr>
            <w:gridSpan w:val="3"/>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Welk lid is voorzitter van de programmacommissie: H.H. Stam- van der Doel, arts M&amp;G, Bignummer </w:t>
            </w: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49020655601</w:t>
            </w: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trHeight w:val="397" w:hRule="atLeast"/>
        </w:trPr>
        <w:tc>
          <w:tcPr>
            <w:gridSpan w:val="2"/>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7. Inhoud van de bij- of nascholing</w:t>
            </w:r>
            <w:r w:rsidDel="00000000" w:rsidR="00000000" w:rsidRPr="00000000">
              <w:rPr>
                <w:rtl w:val="0"/>
              </w:rPr>
            </w:r>
          </w:p>
        </w:tc>
      </w:tr>
      <w:tr>
        <w:trPr>
          <w:trHeight w:val="397" w:hRule="atLeast"/>
        </w:trPr>
        <w:tc>
          <w:tcPr>
            <w:gridSpan w:val="2"/>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Korte omschrijving van de inhoud en leerdoelen (maximaal 50 woorden):</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Cursisten worden geschoold in het adequaat uitvoeren van het van Wiechen onderzoek, door middel van een toets die nabesproken wordt en training on the job bij kinderen van verschillende leeftijden. Dit gebeurd door een gecertificeerde van Wiechen instructeur uit de eigen organisatie.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trHeight w:val="397" w:hRule="atLeast"/>
        </w:trPr>
        <w:tc>
          <w:tcPr>
            <w:gridSpan w:val="2"/>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8. Documentatie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Wordt documentatie verstrekt aan deelnemers</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nvt</w:t>
            </w:r>
          </w:p>
        </w:tc>
      </w:tr>
      <w:tr>
        <w:trPr>
          <w:trHeight w:val="397" w:hRule="atLeast"/>
        </w:trP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Syllabus/ abstracts</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Instructie van Wiechen onderzoek is aanwezig op elke locatie</w:t>
            </w:r>
          </w:p>
        </w:tc>
      </w:tr>
      <w:tr>
        <w:trPr>
          <w:trHeight w:val="397" w:hRule="atLeast"/>
        </w:trP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Anders: namelijk: : Bijv. Hand-out met de presentaties</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nvt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rPr>
          <w:trHeight w:val="397" w:hRule="atLeast"/>
        </w:trP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9. Toetsing en evaluatie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begin van de bij- of nascholing een schriftelijke toets af:  ja</w:t>
            </w:r>
          </w:p>
        </w:tc>
      </w:tr>
      <w:tr>
        <w:trPr>
          <w:trHeight w:val="397" w:hRule="atLeast"/>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eind van de bij- of nascholing een schriftelijke toets af:  nee</w:t>
            </w:r>
          </w:p>
        </w:tc>
      </w:tr>
      <w:tr>
        <w:trPr>
          <w:trHeight w:val="397" w:hRule="atLeast"/>
        </w:trPr>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schriftelijke evaluatie van de bijeenkomst onder de deelnemers vindt plaats na afloop van de bijeenkomst: ja</w:t>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6582"/>
        <w:tblGridChange w:id="0">
          <w:tblGrid>
            <w:gridCol w:w="2628"/>
            <w:gridCol w:w="6582"/>
          </w:tblGrid>
        </w:tblGridChange>
      </w:tblGrid>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CanMEDS punten</w:t>
            </w: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Hieronder staan de CanMEDS rollen beschreven. Kun je op basis van percentages (totaal 100%) aangeven op welke rollen de scholingsactiviteit van toepassing is?</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 (minimaal 1 rol, max. 3)</w:t>
            </w:r>
            <w:r w:rsidDel="00000000" w:rsidR="00000000" w:rsidRPr="00000000">
              <w:rPr>
                <w:rtl w:val="0"/>
              </w:rPr>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shd w:fill="c0c0c0" w:val="cle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Vakinhoudelijk handelen 80%</w:t>
            </w:r>
            <w:r w:rsidDel="00000000" w:rsidR="00000000" w:rsidRPr="00000000">
              <w:rPr>
                <w:rtl w:val="0"/>
              </w:rPr>
            </w:r>
          </w:p>
        </w:tc>
      </w:tr>
      <w:t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anatomie/fysiologie, ziektebeelden en beperkingen, verpleegkundige diagnostiek, farmacologie, psychologie en psychiatrie, zelfmanagement, ondersteuning en begeleiding, preventie, interventies, voorbehouden en risicovolle handelingen, zorgleefplan, hulp-en ondersteuningsmiddelen, verpleegtechnieken, et cetera. </w:t>
            </w:r>
          </w:p>
        </w:tc>
      </w:tr>
      <w:tr>
        <w:tc>
          <w:tcPr>
            <w:shd w:fill="c0c0c0" w:val="cle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Communicatie </w:t>
            </w:r>
            <w:r w:rsidDel="00000000" w:rsidR="00000000" w:rsidRPr="00000000">
              <w:rPr>
                <w:rtl w:val="0"/>
              </w:rPr>
            </w:r>
          </w:p>
        </w:tc>
      </w:tr>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Heb ik meer kennis verworven over de communicatie met patiënten/cliënten?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gesprekstechnieken, theoretische communicatie, gedragsbeïnvloeding, motivatie, empowerment, gebruik van ICT en sociale media et cetera. </w:t>
            </w:r>
          </w:p>
        </w:tc>
      </w:tr>
      <w:tr>
        <w:tc>
          <w:tcPr>
            <w:shd w:fill="c0c0c0" w:val="cle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Samenwerking </w:t>
            </w:r>
            <w:r w:rsidDel="00000000" w:rsidR="00000000" w:rsidRPr="00000000">
              <w:rPr>
                <w:rtl w:val="0"/>
              </w:rPr>
            </w:r>
          </w:p>
        </w:tc>
      </w:tr>
      <w:tr>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het samenwerken met zorgontvangers, zorgverleners en zorginstellingen?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ketenzorg, verslaglegging en overdracht, ondersteuning mantelzorg, multidisciplinaire samenwerking, groepsdynamica et cetera. </w:t>
            </w:r>
          </w:p>
        </w:tc>
      </w:tr>
      <w:tr>
        <w:tc>
          <w:tcPr>
            <w:shd w:fill="c0c0c0" w:val="cle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Kennis en wetenschap 20%</w:t>
            </w:r>
            <w:r w:rsidDel="00000000" w:rsidR="00000000" w:rsidRPr="00000000">
              <w:rPr>
                <w:rtl w:val="0"/>
              </w:rPr>
            </w:r>
          </w:p>
        </w:tc>
      </w:tr>
      <w:t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om te reflecteren op mijn deskundigheid en de onderbouwing van mijn handelen?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onderzoeksmethodiek, toepassing van wetenschap, evidence based practice, feedback et cetera. </w:t>
            </w:r>
          </w:p>
        </w:tc>
      </w:tr>
      <w:tr>
        <w:tc>
          <w:tcPr>
            <w:shd w:fill="c0c0c0" w:val="cle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Maatschappelijk handelen </w:t>
            </w:r>
            <w:r w:rsidDel="00000000" w:rsidR="00000000" w:rsidRPr="00000000">
              <w:rPr>
                <w:rtl w:val="0"/>
              </w:rPr>
            </w:r>
          </w:p>
        </w:tc>
      </w:tr>
      <w:tr>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maatschappelijke context en het bevorderen van gezondheid?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epidemiologie, preventie, culturele achtergronden, sociale netwerken, leefstijlbevordering, voorlichting, bemoeizorg, et cetera. </w:t>
            </w:r>
          </w:p>
        </w:tc>
      </w:tr>
      <w:tr>
        <w:tc>
          <w:tcPr>
            <w:shd w:fill="c0c0c0"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Organisatie</w:t>
            </w:r>
            <w:r w:rsidDel="00000000" w:rsidR="00000000" w:rsidRPr="00000000">
              <w:rPr>
                <w:rtl w:val="0"/>
              </w:rPr>
            </w:r>
          </w:p>
        </w:tc>
      </w:tr>
      <w:t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wijze waarop zorg kan worden georganiseerd?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organisatiekunde, kleinschalige woonvormen, betaalbaarheid van de zorg, coördinatie en continuïteit, indicatiestelling, zorg op afstand, patiëntveiligheid, werkklimaat et cetera. </w:t>
            </w:r>
          </w:p>
        </w:tc>
      </w:tr>
      <w:tr>
        <w:tc>
          <w:tcPr>
            <w:shd w:fill="c0c0c0" w:val="cle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Professionaliteit en kwaliteit</w:t>
            </w:r>
            <w:r w:rsidDel="00000000" w:rsidR="00000000" w:rsidRPr="00000000">
              <w:rPr>
                <w:rtl w:val="0"/>
              </w:rPr>
            </w:r>
          </w:p>
        </w:tc>
      </w:tr>
      <w:t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professionele standaard en kwaliteitsborging? </w:t>
            </w:r>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wet- en regelgeving, beroepscode, beroepsprofielen, standaarden en richtlijnen, protocollen, beroepsvereniging, beroepsimago, kwaliteitsregistratie, kwaliteitssystemen et cetera.</w:t>
            </w: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Calibri"/>
  <w:font w:name="Times New Roman"/>
  <w:font w:name="Courier New"/>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0"/>
    </w:pPr>
    <w:rPr>
      <w:rFonts w:ascii="Times" w:hAnsi="Times"/>
      <w:b w:val="1"/>
      <w:bCs w:val="1"/>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8"/>
      <w:szCs w:val="24"/>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Plattetekst2">
    <w:name w:val="Platte tekst 2"/>
    <w:basedOn w:val="Standaard"/>
    <w:next w:val="Plattetekst2"/>
    <w:autoRedefine w:val="0"/>
    <w:hidden w:val="0"/>
    <w:qFormat w:val="0"/>
    <w:pPr>
      <w:suppressAutoHyphens w:val="1"/>
      <w:spacing w:line="1" w:lineRule="atLeast"/>
      <w:ind w:leftChars="-1" w:rightChars="0" w:firstLineChars="-1"/>
      <w:textDirection w:val="btLr"/>
      <w:textAlignment w:val="top"/>
      <w:outlineLvl w:val="0"/>
    </w:pPr>
    <w:rPr>
      <w:rFonts w:ascii="Times" w:hAnsi="Times"/>
      <w:i w:val="1"/>
      <w:iCs w:val="1"/>
      <w:w w:val="100"/>
      <w:position w:val="-1"/>
      <w:sz w:val="24"/>
      <w:szCs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blead">
    <w:name w:val="weblead"/>
    <w:basedOn w:val="Standaard"/>
    <w:next w:val="weblead"/>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spelle">
    <w:name w:val="spelle"/>
    <w:basedOn w:val="Standaardalinea-lettertype"/>
    <w:next w:val="spelle"/>
    <w:autoRedefine w:val="0"/>
    <w:hidden w:val="0"/>
    <w:qFormat w:val="0"/>
    <w:rPr>
      <w:w w:val="100"/>
      <w:position w:val="-1"/>
      <w:effect w:val="none"/>
      <w:vertAlign w:val="baseline"/>
      <w:cs w:val="0"/>
      <w:em w:val="none"/>
      <w:lang/>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Lijstalinea">
    <w:name w:val="Lijstalinea"/>
    <w:basedOn w:val="Standaard"/>
    <w:next w:val="Lijstalinea"/>
    <w:autoRedefine w:val="0"/>
    <w:hidden w:val="0"/>
    <w:qFormat w:val="1"/>
    <w:pPr>
      <w:suppressAutoHyphens w:val="1"/>
      <w:spacing w:line="1" w:lineRule="atLeast"/>
      <w:ind w:left="720" w:leftChars="-1" w:rightChars="0" w:firstLineChars="-1"/>
      <w:contextualSpacing w:val="1"/>
      <w:textDirection w:val="btLr"/>
      <w:textAlignment w:val="top"/>
      <w:outlineLvl w:val="0"/>
    </w:pPr>
    <w:rPr>
      <w:rFonts w:ascii="Calibri" w:eastAsia="Arial" w:hAnsi="Calibri"/>
      <w:w w:val="100"/>
      <w:position w:val="-1"/>
      <w:sz w:val="22"/>
      <w:szCs w:val="22"/>
      <w:effect w:val="none"/>
      <w:vertAlign w:val="baseline"/>
      <w:cs w:val="0"/>
      <w:em w:val="none"/>
      <w:lang w:bidi="ar-SA" w:eastAsia="en-US" w:val="nl-NL"/>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2aLyZPmmpbujsKse8Yc1iDzljQ==">AMUW2mU4GV5akOeBosSzGS5+6jYVIqnLOf0rNrgqQEThxTGrHYlKMdzd2aP+JKF97FuOacNLRimGmpxTrGm5eaYzzj5E+31JEQXTRx4pHh8nMwykX54Imzc=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2021-02-23T10:44:00Z</dcterms:created>
  <dc:creator>Erica Stam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0x0101001CC44B4FF5A0DE4D95BD1B2DA27D015D</vt:lpstr>
  </property>
</Properties>
</file>